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spacing w:line="560" w:lineRule="exact"/>
        <w:ind w:left="519" w:leftChars="0"/>
        <w:jc w:val="center"/>
        <w:rPr>
          <w:rFonts w:ascii="Times New Roman" w:hAnsi="Times New Roman" w:eastAsia="方正小标宋简体"/>
          <w:sz w:val="28"/>
          <w:szCs w:val="28"/>
        </w:rPr>
      </w:pPr>
      <w:r>
        <w:rPr>
          <w:rFonts w:ascii="Times New Roman" w:hAnsi="Times New Roman" w:eastAsia="方正小标宋简体"/>
          <w:sz w:val="28"/>
          <w:szCs w:val="28"/>
        </w:rPr>
        <w:t>20</w:t>
      </w:r>
      <w:r>
        <w:rPr>
          <w:rFonts w:hint="eastAsia" w:ascii="Times New Roman" w:hAnsi="Times New Roman" w:eastAsia="方正小标宋简体"/>
          <w:sz w:val="28"/>
          <w:szCs w:val="28"/>
          <w:lang w:val="en-US" w:eastAsia="zh-CN"/>
        </w:rPr>
        <w:t>23</w:t>
      </w:r>
      <w:r>
        <w:rPr>
          <w:rFonts w:ascii="Times New Roman" w:hAnsi="Times New Roman" w:eastAsia="方正小标宋简体"/>
          <w:sz w:val="28"/>
          <w:szCs w:val="28"/>
        </w:rPr>
        <w:t>年高等教育教学成果奖申报指南</w:t>
      </w:r>
    </w:p>
    <w:p>
      <w:pPr>
        <w:pStyle w:val="4"/>
        <w:numPr>
          <w:ilvl w:val="0"/>
          <w:numId w:val="0"/>
        </w:numPr>
        <w:spacing w:line="560" w:lineRule="exact"/>
        <w:ind w:left="519" w:leftChars="0"/>
        <w:jc w:val="center"/>
        <w:rPr>
          <w:rFonts w:hint="eastAsia" w:ascii="Times New Roman" w:hAnsi="Times New Roman" w:eastAsia="黑体"/>
          <w:sz w:val="28"/>
          <w:szCs w:val="28"/>
        </w:rPr>
      </w:pPr>
      <w:r>
        <w:rPr>
          <w:rFonts w:hint="eastAsia" w:ascii="Times New Roman" w:hAnsi="Times New Roman" w:eastAsia="黑体"/>
          <w:sz w:val="28"/>
          <w:szCs w:val="28"/>
          <w:lang w:eastAsia="zh-CN"/>
        </w:rPr>
        <w:t>（</w:t>
      </w:r>
      <w:r>
        <w:rPr>
          <w:rFonts w:hint="eastAsia" w:ascii="Times New Roman" w:hAnsi="Times New Roman" w:eastAsia="黑体"/>
          <w:sz w:val="28"/>
          <w:szCs w:val="28"/>
          <w:lang w:val="en-US" w:eastAsia="zh-CN"/>
        </w:rPr>
        <w:t>参考</w:t>
      </w:r>
      <w:r>
        <w:rPr>
          <w:rFonts w:hint="eastAsia" w:ascii="Times New Roman" w:hAnsi="Times New Roman" w:eastAsia="黑体"/>
          <w:sz w:val="28"/>
          <w:szCs w:val="28"/>
        </w:rPr>
        <w:t>粤教人函</w:t>
      </w:r>
      <w:r>
        <w:rPr>
          <w:rFonts w:hint="eastAsia" w:ascii="Times New Roman" w:hAnsi="Times New Roman" w:eastAsia="黑体"/>
          <w:sz w:val="28"/>
          <w:szCs w:val="28"/>
          <w:lang w:val="en-US" w:eastAsia="zh-CN"/>
        </w:rPr>
        <w:t>[2021]8</w:t>
      </w:r>
      <w:r>
        <w:rPr>
          <w:rFonts w:hint="eastAsia" w:ascii="Times New Roman" w:hAnsi="Times New Roman" w:eastAsia="黑体"/>
          <w:sz w:val="28"/>
          <w:szCs w:val="28"/>
        </w:rPr>
        <w:t>号附件3</w:t>
      </w:r>
      <w:r>
        <w:rPr>
          <w:rFonts w:hint="eastAsia" w:ascii="Times New Roman" w:hAnsi="Times New Roman" w:eastAsia="黑体"/>
          <w:sz w:val="28"/>
          <w:szCs w:val="28"/>
          <w:lang w:val="en-US" w:eastAsia="zh-CN"/>
        </w:rPr>
        <w:t>修订</w:t>
      </w:r>
      <w:bookmarkStart w:id="1" w:name="_GoBack"/>
      <w:bookmarkEnd w:id="1"/>
      <w:r>
        <w:rPr>
          <w:rFonts w:hint="eastAsia" w:ascii="Times New Roman" w:hAnsi="Times New Roman" w:eastAsia="黑体"/>
          <w:sz w:val="28"/>
          <w:szCs w:val="28"/>
          <w:lang w:eastAsia="zh-CN"/>
        </w:rPr>
        <w:t>）</w:t>
      </w:r>
    </w:p>
    <w:p>
      <w:pPr>
        <w:pStyle w:val="4"/>
        <w:numPr>
          <w:ilvl w:val="0"/>
          <w:numId w:val="1"/>
        </w:numPr>
        <w:spacing w:line="560" w:lineRule="exact"/>
        <w:ind w:firstLineChars="0"/>
        <w:rPr>
          <w:rFonts w:ascii="Times New Roman" w:hAnsi="Times New Roman" w:eastAsia="黑体"/>
          <w:sz w:val="28"/>
          <w:szCs w:val="28"/>
        </w:rPr>
      </w:pPr>
      <w:r>
        <w:rPr>
          <w:rFonts w:ascii="Times New Roman" w:hAnsi="Times New Roman" w:eastAsia="黑体"/>
          <w:sz w:val="28"/>
          <w:szCs w:val="28"/>
        </w:rPr>
        <w:t>奖励范围</w:t>
      </w:r>
    </w:p>
    <w:p>
      <w:pPr>
        <w:spacing w:line="560" w:lineRule="exact"/>
        <w:ind w:firstLine="560" w:firstLineChars="200"/>
        <w:rPr>
          <w:rFonts w:hint="eastAsia" w:ascii="Times New Roman" w:hAnsi="Times New Roman" w:eastAsia="仿宋_GB2312"/>
          <w:sz w:val="28"/>
          <w:szCs w:val="28"/>
          <w:lang w:eastAsia="zh-CN"/>
        </w:rPr>
      </w:pPr>
      <w:r>
        <w:rPr>
          <w:rFonts w:hint="eastAsia" w:ascii="Times New Roman" w:hAnsi="Times New Roman" w:eastAsia="仿宋_GB2312"/>
          <w:sz w:val="28"/>
          <w:szCs w:val="28"/>
        </w:rPr>
        <w:t>本届高等教育教学成果奖奖励范围为：我省经国家批准设立的本科高校及其从事教学工作的教师、教学辅助人员、教学管理人员在教书育人、教学改革、教学建设、教学管理等方面取得的教学成果，由成果主要完成单位或主要完成人所在单位择优向省教育厅推荐</w:t>
      </w:r>
      <w:r>
        <w:rPr>
          <w:rFonts w:hint="eastAsia" w:ascii="Times New Roman" w:hAnsi="Times New Roman" w:eastAsia="仿宋_GB2312"/>
          <w:sz w:val="28"/>
          <w:szCs w:val="28"/>
          <w:lang w:eastAsia="zh-CN"/>
        </w:rPr>
        <w:t>。</w:t>
      </w:r>
    </w:p>
    <w:p>
      <w:pPr>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高等教育教学成果须符合党和国家的教育方针、政策，符合《广东省教学成果奖励办法》规定的有关条件，坚持立德树人，反映高等教育教学规律，突出教育教学改革，对提高教学水平和教育质量产生明显效果。主要包括转变教育思想观念、改革人才培养机制、创新人才培养模式、深化科教产教融合、优化学科专业结构、加强教学质量保障、改进教学内容方法、推进课程思政建设、扩大优质资源共享、深化教学管理改革等方面。</w:t>
      </w:r>
    </w:p>
    <w:p>
      <w:pPr>
        <w:pStyle w:val="4"/>
        <w:numPr>
          <w:ilvl w:val="0"/>
          <w:numId w:val="1"/>
        </w:numPr>
        <w:spacing w:line="560" w:lineRule="exact"/>
        <w:ind w:firstLineChars="0"/>
        <w:rPr>
          <w:rFonts w:ascii="Times New Roman" w:hAnsi="Times New Roman" w:eastAsia="黑体"/>
          <w:sz w:val="28"/>
          <w:szCs w:val="28"/>
        </w:rPr>
      </w:pPr>
      <w:r>
        <w:rPr>
          <w:rFonts w:ascii="Times New Roman" w:hAnsi="Times New Roman" w:eastAsia="黑体"/>
          <w:sz w:val="28"/>
          <w:szCs w:val="28"/>
        </w:rPr>
        <w:t>申报要求</w:t>
      </w:r>
    </w:p>
    <w:p>
      <w:pPr>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申报</w:t>
      </w:r>
      <w:r>
        <w:rPr>
          <w:rFonts w:hint="eastAsia" w:ascii="Times New Roman" w:hAnsi="Times New Roman" w:eastAsia="仿宋_GB2312"/>
          <w:sz w:val="28"/>
          <w:szCs w:val="28"/>
        </w:rPr>
        <w:t>2</w:t>
      </w:r>
      <w:r>
        <w:rPr>
          <w:rFonts w:ascii="Times New Roman" w:hAnsi="Times New Roman" w:eastAsia="仿宋_GB2312"/>
          <w:sz w:val="28"/>
          <w:szCs w:val="28"/>
        </w:rPr>
        <w:t>0</w:t>
      </w:r>
      <w:r>
        <w:rPr>
          <w:rFonts w:hint="eastAsia" w:ascii="Times New Roman" w:hAnsi="Times New Roman" w:eastAsia="仿宋_GB2312"/>
          <w:sz w:val="28"/>
          <w:szCs w:val="28"/>
          <w:lang w:val="en-US" w:eastAsia="zh-CN"/>
        </w:rPr>
        <w:t>23</w:t>
      </w:r>
      <w:r>
        <w:rPr>
          <w:rFonts w:hint="eastAsia" w:ascii="Times New Roman" w:hAnsi="Times New Roman" w:eastAsia="仿宋_GB2312"/>
          <w:sz w:val="28"/>
          <w:szCs w:val="28"/>
        </w:rPr>
        <w:t>年</w:t>
      </w:r>
      <w:r>
        <w:rPr>
          <w:rFonts w:ascii="Times New Roman" w:hAnsi="Times New Roman" w:eastAsia="仿宋_GB2312"/>
          <w:sz w:val="28"/>
          <w:szCs w:val="28"/>
        </w:rPr>
        <w:t>省高等教育教育教学成果奖应符合下列要求：</w:t>
      </w:r>
    </w:p>
    <w:p>
      <w:pPr>
        <w:spacing w:line="560" w:lineRule="exact"/>
        <w:ind w:firstLine="560" w:firstLineChars="200"/>
        <w:rPr>
          <w:rFonts w:ascii="Times New Roman" w:hAnsi="Times New Roman" w:eastAsia="仿宋_GB2312"/>
          <w:sz w:val="28"/>
          <w:szCs w:val="28"/>
        </w:rPr>
      </w:pPr>
      <w:bookmarkStart w:id="0" w:name="_Hlk2776228"/>
      <w:r>
        <w:rPr>
          <w:rFonts w:ascii="Times New Roman" w:hAnsi="Times New Roman" w:eastAsia="仿宋_GB2312"/>
          <w:sz w:val="28"/>
          <w:szCs w:val="28"/>
        </w:rPr>
        <w:t>1.须为201</w:t>
      </w:r>
      <w:r>
        <w:rPr>
          <w:rFonts w:hint="eastAsia" w:ascii="Times New Roman" w:hAnsi="Times New Roman" w:eastAsia="仿宋_GB2312"/>
          <w:sz w:val="28"/>
          <w:szCs w:val="28"/>
          <w:lang w:val="en-US" w:eastAsia="zh-CN"/>
        </w:rPr>
        <w:t>8</w:t>
      </w:r>
      <w:r>
        <w:rPr>
          <w:rFonts w:ascii="Times New Roman" w:hAnsi="Times New Roman" w:eastAsia="仿宋_GB2312"/>
          <w:sz w:val="28"/>
          <w:szCs w:val="28"/>
        </w:rPr>
        <w:t>年以来获得学校校级成果奖一等奖及以上的成果，</w:t>
      </w:r>
      <w:r>
        <w:rPr>
          <w:rFonts w:ascii="Times New Roman" w:hAnsi="Times New Roman" w:eastAsia="仿宋_GB2312"/>
          <w:color w:val="000000"/>
          <w:sz w:val="28"/>
          <w:szCs w:val="28"/>
        </w:rPr>
        <w:t>并且符合有关规定条件</w:t>
      </w:r>
      <w:r>
        <w:rPr>
          <w:rFonts w:ascii="Times New Roman" w:hAnsi="Times New Roman" w:eastAsia="仿宋_GB2312"/>
          <w:sz w:val="28"/>
          <w:szCs w:val="28"/>
        </w:rPr>
        <w:t>;</w:t>
      </w:r>
    </w:p>
    <w:p>
      <w:pPr>
        <w:spacing w:line="560" w:lineRule="exact"/>
        <w:ind w:firstLine="645"/>
        <w:rPr>
          <w:rFonts w:ascii="Times New Roman" w:hAnsi="Times New Roman" w:eastAsia="仿宋_GB2312"/>
          <w:sz w:val="28"/>
          <w:szCs w:val="28"/>
        </w:rPr>
      </w:pPr>
      <w:r>
        <w:rPr>
          <w:rFonts w:ascii="Times New Roman" w:hAnsi="Times New Roman" w:eastAsia="仿宋_GB2312"/>
          <w:sz w:val="28"/>
          <w:szCs w:val="28"/>
        </w:rPr>
        <w:t>2.成果应经过2年以上教育教学实践检验（特等奖和一等奖的成果一般应经过不低于4年检验），实践检验的起始时间，应从正式实施（包括试行）教育教学方案的时间开始计算，不含研讨、论证及制定方案的时间，截止时间为20</w:t>
      </w:r>
      <w:r>
        <w:rPr>
          <w:rFonts w:hint="eastAsia" w:ascii="Times New Roman" w:hAnsi="Times New Roman" w:eastAsia="仿宋_GB2312"/>
          <w:sz w:val="28"/>
          <w:szCs w:val="28"/>
          <w:lang w:val="en-US" w:eastAsia="zh-CN"/>
        </w:rPr>
        <w:t>23</w:t>
      </w:r>
      <w:r>
        <w:rPr>
          <w:rFonts w:ascii="Times New Roman" w:hAnsi="Times New Roman" w:eastAsia="仿宋_GB2312"/>
          <w:sz w:val="28"/>
          <w:szCs w:val="28"/>
        </w:rPr>
        <w:t>年5月31日；</w:t>
      </w:r>
    </w:p>
    <w:p>
      <w:pPr>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3.成果的主要完成人应直接参加成果的方案设计、论证、研究和实施全过程，并做出主要贡献。成果的主要完成单位应为成果主要完成人所在的单位，并在成果的方案设计、论证、研究和实践的全过程中做出主要贡献；</w:t>
      </w:r>
    </w:p>
    <w:p>
      <w:pPr>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4.</w:t>
      </w:r>
      <w:r>
        <w:rPr>
          <w:rFonts w:hint="eastAsia" w:ascii="Times New Roman" w:hAnsi="Times New Roman" w:eastAsia="仿宋_GB2312"/>
          <w:sz w:val="28"/>
          <w:szCs w:val="28"/>
        </w:rPr>
        <w:t>评选表彰面向基层和工作一线，优先推荐一线教师取得的 成果，严格控制校领导牵头申报的比例；</w:t>
      </w:r>
    </w:p>
    <w:bookmarkEnd w:id="0"/>
    <w:p>
      <w:pPr>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5.同等条件下，对欠发达地区高等学校</w:t>
      </w:r>
      <w:r>
        <w:rPr>
          <w:rFonts w:hint="eastAsia" w:ascii="Times New Roman" w:hAnsi="Times New Roman" w:eastAsia="仿宋_GB2312"/>
          <w:sz w:val="28"/>
          <w:szCs w:val="28"/>
          <w:lang w:val="en-US" w:eastAsia="zh-CN"/>
        </w:rPr>
        <w:t>和</w:t>
      </w:r>
      <w:r>
        <w:rPr>
          <w:rFonts w:ascii="Times New Roman" w:hAnsi="Times New Roman" w:eastAsia="仿宋_GB2312"/>
          <w:sz w:val="28"/>
          <w:szCs w:val="28"/>
        </w:rPr>
        <w:t>民办高等学校取得</w:t>
      </w:r>
      <w:r>
        <w:rPr>
          <w:rFonts w:hint="eastAsia" w:ascii="Times New Roman" w:hAnsi="Times New Roman" w:eastAsia="仿宋_GB2312"/>
          <w:sz w:val="28"/>
          <w:szCs w:val="28"/>
          <w:lang w:val="en-US" w:eastAsia="zh-CN"/>
        </w:rPr>
        <w:t>的</w:t>
      </w:r>
      <w:r>
        <w:rPr>
          <w:rFonts w:ascii="Times New Roman" w:hAnsi="Times New Roman" w:eastAsia="仿宋_GB2312"/>
          <w:sz w:val="28"/>
          <w:szCs w:val="28"/>
        </w:rPr>
        <w:t>成果和长期从事公共课、基础课教学工作</w:t>
      </w:r>
      <w:r>
        <w:rPr>
          <w:rFonts w:hint="eastAsia" w:ascii="Times New Roman" w:hAnsi="Times New Roman" w:eastAsia="仿宋_GB2312"/>
          <w:sz w:val="28"/>
          <w:szCs w:val="28"/>
          <w:lang w:val="en-US" w:eastAsia="zh-CN"/>
        </w:rPr>
        <w:t>的</w:t>
      </w:r>
      <w:r>
        <w:rPr>
          <w:rFonts w:ascii="Times New Roman" w:hAnsi="Times New Roman" w:eastAsia="仿宋_GB2312"/>
          <w:sz w:val="28"/>
          <w:szCs w:val="28"/>
        </w:rPr>
        <w:t>教师取得的成果</w:t>
      </w:r>
      <w:r>
        <w:rPr>
          <w:rFonts w:hint="eastAsia" w:ascii="Times New Roman" w:hAnsi="Times New Roman" w:eastAsia="仿宋_GB2312"/>
          <w:sz w:val="28"/>
          <w:szCs w:val="28"/>
          <w:lang w:eastAsia="zh-CN"/>
        </w:rPr>
        <w:t>、</w:t>
      </w:r>
      <w:r>
        <w:rPr>
          <w:rFonts w:ascii="Times New Roman" w:hAnsi="Times New Roman" w:eastAsia="仿宋_GB2312"/>
          <w:sz w:val="28"/>
          <w:szCs w:val="28"/>
        </w:rPr>
        <w:t>中青年教师取得的教学成果予以倾斜；</w:t>
      </w:r>
    </w:p>
    <w:p>
      <w:pPr>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lang w:val="en-US" w:eastAsia="zh-CN"/>
        </w:rPr>
        <w:t>6.</w:t>
      </w:r>
      <w:r>
        <w:rPr>
          <w:rFonts w:ascii="Times New Roman" w:hAnsi="Times New Roman" w:eastAsia="仿宋_GB2312"/>
          <w:sz w:val="28"/>
          <w:szCs w:val="28"/>
        </w:rPr>
        <w:t>多校（单位）合作或联合完成</w:t>
      </w:r>
      <w:r>
        <w:rPr>
          <w:rFonts w:hint="eastAsia" w:ascii="Times New Roman" w:hAnsi="Times New Roman" w:eastAsia="仿宋_GB2312"/>
          <w:sz w:val="28"/>
          <w:szCs w:val="28"/>
          <w:lang w:val="en-US" w:eastAsia="zh-CN"/>
        </w:rPr>
        <w:t>的成果</w:t>
      </w:r>
      <w:r>
        <w:rPr>
          <w:rFonts w:ascii="Times New Roman" w:hAnsi="Times New Roman" w:eastAsia="仿宋_GB2312"/>
          <w:sz w:val="28"/>
          <w:szCs w:val="28"/>
        </w:rPr>
        <w:t>、具有较大受益面和突出推广应用价值的教学成果</w:t>
      </w:r>
      <w:r>
        <w:rPr>
          <w:rFonts w:hint="eastAsia" w:ascii="Times New Roman" w:hAnsi="Times New Roman" w:eastAsia="仿宋_GB2312"/>
          <w:sz w:val="28"/>
          <w:szCs w:val="28"/>
          <w:lang w:eastAsia="zh-CN"/>
        </w:rPr>
        <w:t>、</w:t>
      </w:r>
      <w:r>
        <w:rPr>
          <w:rFonts w:ascii="Times New Roman" w:hAnsi="Times New Roman" w:eastAsia="仿宋_GB2312"/>
          <w:sz w:val="28"/>
          <w:szCs w:val="28"/>
        </w:rPr>
        <w:t>为培养产业转型升级</w:t>
      </w:r>
      <w:r>
        <w:rPr>
          <w:rFonts w:hint="eastAsia" w:ascii="Times New Roman" w:hAnsi="Times New Roman" w:eastAsia="仿宋_GB2312"/>
          <w:sz w:val="28"/>
          <w:szCs w:val="28"/>
          <w:lang w:val="en-US" w:eastAsia="zh-CN"/>
        </w:rPr>
        <w:t>亟需的</w:t>
      </w:r>
      <w:r>
        <w:rPr>
          <w:rFonts w:ascii="Times New Roman" w:hAnsi="Times New Roman" w:eastAsia="仿宋_GB2312"/>
          <w:sz w:val="28"/>
          <w:szCs w:val="28"/>
        </w:rPr>
        <w:t>创新型、应用型、复合型人才做出突出贡献的教学成果</w:t>
      </w:r>
      <w:r>
        <w:rPr>
          <w:rFonts w:hint="eastAsia" w:ascii="Times New Roman" w:hAnsi="Times New Roman" w:eastAsia="仿宋_GB2312"/>
          <w:sz w:val="28"/>
          <w:szCs w:val="28"/>
          <w:lang w:eastAsia="zh-CN"/>
        </w:rPr>
        <w:t>，</w:t>
      </w:r>
      <w:r>
        <w:rPr>
          <w:rFonts w:ascii="Times New Roman" w:hAnsi="Times New Roman" w:eastAsia="仿宋_GB2312"/>
          <w:sz w:val="28"/>
          <w:szCs w:val="28"/>
        </w:rPr>
        <w:t>优先</w:t>
      </w:r>
      <w:r>
        <w:rPr>
          <w:rFonts w:hint="eastAsia" w:ascii="Times New Roman" w:hAnsi="Times New Roman" w:eastAsia="仿宋_GB2312"/>
          <w:sz w:val="28"/>
          <w:szCs w:val="28"/>
          <w:lang w:val="en-US" w:eastAsia="zh-CN"/>
        </w:rPr>
        <w:t>予以</w:t>
      </w:r>
      <w:r>
        <w:rPr>
          <w:rFonts w:ascii="Times New Roman" w:hAnsi="Times New Roman" w:eastAsia="仿宋_GB2312"/>
          <w:sz w:val="28"/>
          <w:szCs w:val="28"/>
        </w:rPr>
        <w:t>考虑；</w:t>
      </w:r>
    </w:p>
    <w:p>
      <w:pPr>
        <w:spacing w:line="560" w:lineRule="exact"/>
        <w:ind w:firstLine="585" w:firstLineChars="209"/>
        <w:rPr>
          <w:rFonts w:ascii="Times New Roman" w:hAnsi="Times New Roman" w:eastAsia="仿宋_GB2312"/>
          <w:color w:val="000000"/>
          <w:sz w:val="28"/>
          <w:szCs w:val="28"/>
        </w:rPr>
      </w:pPr>
      <w:r>
        <w:rPr>
          <w:rFonts w:ascii="Times New Roman" w:hAnsi="Times New Roman" w:eastAsia="仿宋_GB2312"/>
          <w:color w:val="000000"/>
          <w:sz w:val="28"/>
          <w:szCs w:val="28"/>
        </w:rPr>
        <w:t>下列情况不予受理：</w:t>
      </w:r>
    </w:p>
    <w:p>
      <w:pPr>
        <w:spacing w:line="56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1.</w:t>
      </w:r>
      <w:r>
        <w:rPr>
          <w:rFonts w:hint="eastAsia" w:ascii="Times New Roman" w:hAnsi="Times New Roman" w:eastAsia="仿宋_GB2312"/>
          <w:color w:val="000000"/>
          <w:sz w:val="28"/>
          <w:szCs w:val="28"/>
          <w:lang w:val="en-US" w:eastAsia="zh-CN"/>
        </w:rPr>
        <w:t>推荐高校</w:t>
      </w:r>
      <w:r>
        <w:rPr>
          <w:rFonts w:ascii="Times New Roman" w:hAnsi="Times New Roman" w:eastAsia="仿宋_GB2312"/>
          <w:color w:val="000000"/>
          <w:sz w:val="28"/>
          <w:szCs w:val="28"/>
        </w:rPr>
        <w:t>未制定校级教学成果奖励工作制度或未在正常范围内开展校级教学成果评奖工作的；</w:t>
      </w:r>
    </w:p>
    <w:p>
      <w:pPr>
        <w:spacing w:line="56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2.为单纯迎合评奖数额要求，未经正常程序随意增加校级一等奖项目和调高评奖等级的项目；</w:t>
      </w:r>
    </w:p>
    <w:p>
      <w:pPr>
        <w:spacing w:line="56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3.未按有关规定要求，临时拼凑、突击申报和随意撮合推荐项目；</w:t>
      </w:r>
    </w:p>
    <w:p>
      <w:pPr>
        <w:spacing w:line="56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4.</w:t>
      </w:r>
      <w:r>
        <w:rPr>
          <w:rFonts w:ascii="Times New Roman" w:hAnsi="Times New Roman" w:eastAsia="仿宋_GB2312"/>
          <w:sz w:val="28"/>
          <w:szCs w:val="28"/>
        </w:rPr>
        <w:t>已获得过省高等教育教育教学成果奖</w:t>
      </w:r>
      <w:r>
        <w:rPr>
          <w:rFonts w:hint="eastAsia" w:ascii="Times New Roman" w:hAnsi="Times New Roman" w:eastAsia="仿宋_GB2312"/>
          <w:sz w:val="28"/>
          <w:szCs w:val="28"/>
          <w:lang w:eastAsia="zh-CN"/>
        </w:rPr>
        <w:t>，</w:t>
      </w:r>
      <w:r>
        <w:rPr>
          <w:rFonts w:ascii="Times New Roman" w:hAnsi="Times New Roman" w:eastAsia="仿宋_GB2312"/>
          <w:sz w:val="28"/>
          <w:szCs w:val="28"/>
        </w:rPr>
        <w:t>内容基本相同或没有特别创新的项目；</w:t>
      </w:r>
    </w:p>
    <w:p>
      <w:pPr>
        <w:spacing w:line="560" w:lineRule="exact"/>
        <w:ind w:firstLine="645"/>
        <w:rPr>
          <w:rFonts w:ascii="Times New Roman" w:hAnsi="Times New Roman" w:eastAsia="仿宋_GB2312"/>
          <w:sz w:val="28"/>
          <w:szCs w:val="28"/>
        </w:rPr>
      </w:pPr>
      <w:r>
        <w:rPr>
          <w:rFonts w:ascii="Times New Roman" w:hAnsi="Times New Roman" w:eastAsia="仿宋_GB2312"/>
          <w:sz w:val="28"/>
          <w:szCs w:val="28"/>
        </w:rPr>
        <w:t>5.结合高等教育教学改革周期性较长和教学成果要求2年实践检验等因素，凡未满两届本科毕业生的高校，原则上不予考虑申报省高等教育教学成果奖。</w:t>
      </w:r>
    </w:p>
    <w:p>
      <w:pPr>
        <w:jc w:val="both"/>
        <w:rPr>
          <w:rFonts w:ascii="Times New Roman" w:hAnsi="Times New Roman" w:eastAsia="仿宋_GB2312"/>
          <w:sz w:val="28"/>
          <w:szCs w:val="28"/>
        </w:rPr>
      </w:pPr>
      <w:r>
        <w:rPr>
          <w:rFonts w:hint="eastAsia" w:ascii="Times New Roman" w:hAnsi="Times New Roman" w:eastAsia="仿宋_GB2312"/>
          <w:sz w:val="28"/>
          <w:szCs w:val="28"/>
          <w:lang w:val="en-US" w:eastAsia="zh-CN"/>
        </w:rPr>
        <w:t xml:space="preserve">    </w:t>
      </w:r>
      <w:r>
        <w:rPr>
          <w:rFonts w:hint="eastAsia" w:ascii="Times New Roman" w:hAnsi="Times New Roman" w:eastAsia="仿宋_GB2312"/>
          <w:sz w:val="28"/>
          <w:szCs w:val="28"/>
        </w:rPr>
        <w:t>在符合前述成果奖基本申报要求的前提下，国家高层次人才 特殊支持计划教学名师、广东特支计划教学名师、第六届中国国际“互联网+”大学生创新创业大赛金奖项目第一指导教师，在一线教学中有突出改革成就的，每人可牵头申报1项成果（金奖指 导教师申报成果须以创新创业为主要内容），该成果不占用学校 限额指标，但所申报成果必须与其他成果一样，完成校内推荐程序后一并报送，且该成果负责人不可再参与其他成果申报。20</w:t>
      </w:r>
      <w:r>
        <w:rPr>
          <w:rFonts w:hint="eastAsia" w:ascii="Times New Roman" w:hAnsi="Times New Roman" w:eastAsia="仿宋_GB2312"/>
          <w:sz w:val="28"/>
          <w:szCs w:val="28"/>
          <w:lang w:val="en-US" w:eastAsia="zh-CN"/>
        </w:rPr>
        <w:t>21</w:t>
      </w:r>
      <w:r>
        <w:rPr>
          <w:rFonts w:hint="eastAsia" w:ascii="Times New Roman" w:hAnsi="Times New Roman" w:eastAsia="仿宋_GB2312"/>
          <w:sz w:val="28"/>
          <w:szCs w:val="28"/>
        </w:rPr>
        <w:t>年省高等教育成果奖申报中，已使用过额外指标的教师，本届如再次牵头申报，将占用学校正常推荐名额。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232EF1"/>
    <w:multiLevelType w:val="multilevel"/>
    <w:tmpl w:val="39232EF1"/>
    <w:lvl w:ilvl="0" w:tentative="0">
      <w:start w:val="1"/>
      <w:numFmt w:val="japaneseCounting"/>
      <w:lvlText w:val="%1、"/>
      <w:lvlJc w:val="left"/>
      <w:pPr>
        <w:ind w:left="1239" w:hanging="720"/>
      </w:pPr>
      <w:rPr>
        <w:rFonts w:hint="default"/>
        <w:lang w:val="en-US"/>
      </w:rPr>
    </w:lvl>
    <w:lvl w:ilvl="1" w:tentative="0">
      <w:start w:val="1"/>
      <w:numFmt w:val="lowerLetter"/>
      <w:lvlText w:val="%2)"/>
      <w:lvlJc w:val="left"/>
      <w:pPr>
        <w:ind w:left="1359" w:hanging="420"/>
      </w:pPr>
    </w:lvl>
    <w:lvl w:ilvl="2" w:tentative="0">
      <w:start w:val="1"/>
      <w:numFmt w:val="lowerRoman"/>
      <w:lvlText w:val="%3."/>
      <w:lvlJc w:val="right"/>
      <w:pPr>
        <w:ind w:left="1779" w:hanging="420"/>
      </w:pPr>
    </w:lvl>
    <w:lvl w:ilvl="3" w:tentative="0">
      <w:start w:val="1"/>
      <w:numFmt w:val="decimal"/>
      <w:lvlText w:val="%4."/>
      <w:lvlJc w:val="left"/>
      <w:pPr>
        <w:ind w:left="2199" w:hanging="420"/>
      </w:pPr>
    </w:lvl>
    <w:lvl w:ilvl="4" w:tentative="0">
      <w:start w:val="1"/>
      <w:numFmt w:val="lowerLetter"/>
      <w:lvlText w:val="%5)"/>
      <w:lvlJc w:val="left"/>
      <w:pPr>
        <w:ind w:left="2619" w:hanging="420"/>
      </w:pPr>
    </w:lvl>
    <w:lvl w:ilvl="5" w:tentative="0">
      <w:start w:val="1"/>
      <w:numFmt w:val="lowerRoman"/>
      <w:lvlText w:val="%6."/>
      <w:lvlJc w:val="right"/>
      <w:pPr>
        <w:ind w:left="3039" w:hanging="420"/>
      </w:pPr>
    </w:lvl>
    <w:lvl w:ilvl="6" w:tentative="0">
      <w:start w:val="1"/>
      <w:numFmt w:val="decimal"/>
      <w:lvlText w:val="%7."/>
      <w:lvlJc w:val="left"/>
      <w:pPr>
        <w:ind w:left="3459" w:hanging="420"/>
      </w:pPr>
    </w:lvl>
    <w:lvl w:ilvl="7" w:tentative="0">
      <w:start w:val="1"/>
      <w:numFmt w:val="lowerLetter"/>
      <w:lvlText w:val="%8)"/>
      <w:lvlJc w:val="left"/>
      <w:pPr>
        <w:ind w:left="3879" w:hanging="420"/>
      </w:pPr>
    </w:lvl>
    <w:lvl w:ilvl="8" w:tentative="0">
      <w:start w:val="1"/>
      <w:numFmt w:val="lowerRoman"/>
      <w:lvlText w:val="%9."/>
      <w:lvlJc w:val="right"/>
      <w:pPr>
        <w:ind w:left="429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mMGY0ZDM0MTBjMTcyNzZlOGEyNjc4ZDQyNzQwODQifQ=="/>
  </w:docVars>
  <w:rsids>
    <w:rsidRoot w:val="3B9C2F4B"/>
    <w:rsid w:val="0B1108F1"/>
    <w:rsid w:val="1D817453"/>
    <w:rsid w:val="28435C76"/>
    <w:rsid w:val="2C862E03"/>
    <w:rsid w:val="3573609C"/>
    <w:rsid w:val="3B9C2F4B"/>
    <w:rsid w:val="4ADA261C"/>
    <w:rsid w:val="4C571B34"/>
    <w:rsid w:val="5F3B0C72"/>
    <w:rsid w:val="5F877931"/>
    <w:rsid w:val="6B121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列出段落"/>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2021-02-22T08:27:00Z</dcterms:created>
  <dc:creator>amanie999</dc:creator>
  <cp:lastModifiedBy>老大是我</cp:lastModifiedBy>
  <dcterms:modified xsi:type="dcterms:W3CDTF">2023-04-20T07:50:27Z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15EE215FBE384CE4A20C83C8D850C3AC</vt:lpwstr>
  </property>
</Properties>
</file>